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11939" cy="28908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1939" cy="2890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vk4z09nhn7px" w:id="0"/>
      <w:bookmarkEnd w:id="0"/>
      <w:r w:rsidDel="00000000" w:rsidR="00000000" w:rsidRPr="00000000">
        <w:rPr>
          <w:rtl w:val="0"/>
        </w:rPr>
        <w:t xml:space="preserve">Miniature Lighthouse Instructions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Needed: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Foam Cone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Baby Food Jar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Paint Brush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Rubber bands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Acrylic paint - white, black, color of your choice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Hot glue gun and glue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Shells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Fake votive candle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Cutting the foam top of the cone and adding foam clay has been done for you.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 the top clay portion of your cone using your chosen color or colors.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rubber bands and measuring tools at your table to mark out where you want your stripes of color to go. I suggest either one or two stripes of color. (image on next page) 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2700338" cy="178947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1789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Carefully paint in between the rubber bands with your chosen color.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front of the lighthouse and paint the door that is about an inch tall with the black paint. It can either be a curved or rectangle.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where you would like your windows to go on the front and back of the lighthouse.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 the tiny windows in black paint. The window configuration is 4 squares in a grid pattern.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209047" cy="2130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047" cy="2130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hot glue gun to add shells in a configuration that you like.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the fake votive candle at the top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Shimmy the baby food jar down the length of the tower until it sits snuggly.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Enjoy your tiny lighthouse.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